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359E9" w14:textId="77777777" w:rsidR="00DD3EBC" w:rsidRDefault="00DD3EBC" w:rsidP="00DD3EBC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103D0C00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11021300" w14:textId="77777777" w:rsidR="00DD3EBC" w:rsidRDefault="00DD3EBC" w:rsidP="00DD3EB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1"/>
          <w:szCs w:val="11"/>
          <w:lang w:val="es-ES"/>
        </w:rPr>
      </w:pPr>
    </w:p>
    <w:p w14:paraId="3403955B" w14:textId="77777777" w:rsidR="00DD3EBC" w:rsidRDefault="00DD3EBC" w:rsidP="00DD3EBC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ED TÉC PROF: CONDICIONES DE HIGIENE Y SEGURIDAD </w:t>
      </w:r>
    </w:p>
    <w:p w14:paraId="179FA6EB" w14:textId="08858360" w:rsidR="00DD3EBC" w:rsidRDefault="00DD3EBC" w:rsidP="00DD3EBC">
      <w:pPr>
        <w:widowControl w:val="0"/>
        <w:autoSpaceDE w:val="0"/>
        <w:autoSpaceDN w:val="0"/>
        <w:adjustRightInd w:val="0"/>
        <w:spacing w:before="100" w:after="0" w:line="48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CONSEJO FEDERAL DE EDUCACIÓN</w:t>
      </w:r>
    </w:p>
    <w:p w14:paraId="62D33686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RESOLUCIÓN  Nº 145/11</w:t>
      </w:r>
    </w:p>
    <w:p w14:paraId="5BDF9283" w14:textId="77777777" w:rsidR="00DD3EBC" w:rsidRDefault="00DD3EBC" w:rsidP="00DD3EBC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b/>
          <w:bCs/>
          <w:sz w:val="11"/>
          <w:szCs w:val="11"/>
          <w:lang w:val="es-ES"/>
        </w:rPr>
      </w:pPr>
    </w:p>
    <w:p w14:paraId="2B0491A5" w14:textId="77777777" w:rsidR="00DD3EBC" w:rsidRDefault="00DD3EBC" w:rsidP="00DD3EBC">
      <w:pPr>
        <w:widowControl w:val="0"/>
        <w:autoSpaceDE w:val="0"/>
        <w:autoSpaceDN w:val="0"/>
        <w:adjustRightInd w:val="0"/>
        <w:spacing w:before="101" w:after="0" w:line="240" w:lineRule="auto"/>
        <w:ind w:right="-1"/>
        <w:jc w:val="right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Buenos Aires, 31 de agosto de 2011</w:t>
      </w:r>
    </w:p>
    <w:p w14:paraId="6954298D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lang w:val="es-ES"/>
        </w:rPr>
      </w:pPr>
    </w:p>
    <w:p w14:paraId="5CCAF26B" w14:textId="77777777" w:rsidR="00DD3EBC" w:rsidRDefault="00DD3EBC" w:rsidP="00DD3EB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sz w:val="17"/>
          <w:szCs w:val="17"/>
          <w:lang w:val="es-ES"/>
        </w:rPr>
      </w:pPr>
    </w:p>
    <w:p w14:paraId="70C2D7CC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 xml:space="preserve">VISTO </w:t>
      </w:r>
      <w:r>
        <w:rPr>
          <w:rFonts w:ascii="Trebuchet MS" w:hAnsi="Trebuchet MS" w:cs="Trebuchet MS"/>
          <w:sz w:val="20"/>
          <w:szCs w:val="20"/>
          <w:lang w:val="es-ES"/>
        </w:rPr>
        <w:t>la Ley de Educación Técnico Profesional N° 26.058 y la Resolución CFE N° 62/08 y,</w:t>
      </w:r>
    </w:p>
    <w:p w14:paraId="7DDDA0A5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A68DDBE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sz w:val="20"/>
          <w:szCs w:val="20"/>
          <w:lang w:val="es-ES"/>
        </w:rPr>
        <w:t>CONSIDERANDO:</w:t>
      </w:r>
    </w:p>
    <w:p w14:paraId="640F88FB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los objetivos enunciados en la Ley Nº 26.058 refieren a la necesidad de alcanzar mayores niveles de equidad, calidad, eficiencia y efectividad de la Educación Técnico Profesional, a través del fortalecimiento y mejora continua de las instituciones y de los programas de educación técnico profesional, en el marco de políticas nacionales y estrategias de carácter federal, que integren las particularidades y diversidades jurisdiccionales.</w:t>
      </w:r>
    </w:p>
    <w:p w14:paraId="4306DF8C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79BAD9F1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Ley Nº 26.058 crea el Fondo Nacional para la Educación Técnico Profesional, con la finalidad de favorecer la inversión necesaria para dar cumplimiento a los objetivos y propósitos enunciados en el considerando precedente, cuyos recursos se aplican a diversas líneas de acción.</w:t>
      </w:r>
    </w:p>
    <w:p w14:paraId="3ED1B02E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D60A9E8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z w:val="20"/>
          <w:szCs w:val="20"/>
          <w:lang w:val="es-ES"/>
        </w:rPr>
        <w:t>Que la experiencia recogida hasta la fecha aconseja incorporar nuevos componentes de las líneas de acción ya implementadas e introducir modificaciones en los montos de inversión establecidos como máximos para ciertas líneas del Programa de Mejora Continua de la Calidad de la Educación Técnico</w:t>
      </w:r>
      <w:r>
        <w:rPr>
          <w:rFonts w:ascii="Trebuchet MS" w:hAnsi="Trebuchet MS" w:cs="Trebuchet MS"/>
          <w:spacing w:val="-2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Profesional.</w:t>
      </w:r>
    </w:p>
    <w:p w14:paraId="5062F0E9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7EC10D5B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el MINISTERIO DE EDUCACIÓN DE LA NACIÓN, en acuerdo con el CONSEJO FEDERAL DE EDUCACIÓN, debe</w:t>
      </w:r>
    </w:p>
    <w:p w14:paraId="4F2A5FC8" w14:textId="77777777" w:rsidR="00DD3EBC" w:rsidRDefault="00DD3EBC" w:rsidP="00DD3EB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establecer las políticas, los criterios, las estrategias y los procedimientos que orientan y definen la aplicación de la Ley de Educación Técnico Profesional.</w:t>
      </w:r>
    </w:p>
    <w:p w14:paraId="27A96216" w14:textId="77777777" w:rsidR="00DD3EBC" w:rsidRDefault="00DD3EBC" w:rsidP="00DD3EBC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2824A515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Que la presente medida se adopta con el voto afirmativo de todos los miembros de esta Asamblea Federal, a excepción de las provincias de Corrientes, Chubut, Río Negro y San Juan, por ausencia de sus representantes.</w:t>
      </w:r>
    </w:p>
    <w:p w14:paraId="20DDEE39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7D08C124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3E68A5F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Por ello,</w:t>
      </w:r>
    </w:p>
    <w:p w14:paraId="050DC003" w14:textId="77777777" w:rsidR="00DD3EBC" w:rsidRDefault="00DD3EBC" w:rsidP="00DD3EB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056F8B79" w14:textId="7B8BE729" w:rsidR="00DD3EBC" w:rsidRPr="00DD3EBC" w:rsidRDefault="00DD3EBC" w:rsidP="00DD3EB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LA XXXVI ASAMBLEA DEL CONSEJO FEDERAL DE EDUCACIÓN RESUELVE:</w:t>
      </w:r>
    </w:p>
    <w:p w14:paraId="234646CC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5A16CF88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1°.-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Incorporar en el Anexo I de la Resolución CFE N° 62/08, Capítulo IV. Líneas de Acción, apartado 46, inciso f), el componente: “Asesoramiento, asistencia técnica y capacitación en normativas bromatológicas y de bioseguridad, en laboratorios, talleres y espacios productivos”, en los términos indicados en el Anexo I de la presente Resolución.</w:t>
      </w:r>
    </w:p>
    <w:p w14:paraId="382482ED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6BBF94DD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ARTÍCULO 2º.-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Introducir modificaciones en el Anexo I de la Resolución CFE N° 62/08, Capítulo IV. Líneas de Acción, apartado 46, incisos f) y g), relativas a los componentes: “Condiciones de higiene y seguridad en talleres, laboratorios y espacios productivos en que se desarrollan las prácticas pre profesionales y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profesionalizantes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>” y “Acondicionamiento edilicio”, en los términos indicados en el Anexo I de la presente Resolución.</w:t>
      </w:r>
    </w:p>
    <w:p w14:paraId="2FBEC92A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453812DE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 xml:space="preserve">ARTICULO 3°.-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Regístrese, comuníquese, notifíquese a los integrantes del CONSEJO FEDERAL DE EDUCACIÓN y cumplido,</w:t>
      </w:r>
      <w:r>
        <w:rPr>
          <w:rFonts w:ascii="Trebuchet MS" w:hAnsi="Trebuchet MS" w:cs="Trebuchet MS"/>
          <w:spacing w:val="-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archívese.</w:t>
      </w:r>
    </w:p>
    <w:p w14:paraId="1338BAD9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Fdo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: Prof. Alberto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Sileoni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– Ministro de Educación de la Nación</w:t>
      </w:r>
    </w:p>
    <w:p w14:paraId="0264D567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Prof. Domingo de Cara – Secretario General del Consejo Federal de Educación</w:t>
      </w:r>
    </w:p>
    <w:p w14:paraId="41301950" w14:textId="77777777" w:rsidR="00DD3EBC" w:rsidRDefault="00DD3EBC" w:rsidP="00DD3EBC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6D47F0FF" w14:textId="77777777" w:rsidR="00DD3EBC" w:rsidRDefault="00DD3EBC" w:rsidP="00DD3EBC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</w:p>
    <w:p w14:paraId="715B773A" w14:textId="77777777" w:rsidR="00DD3EBC" w:rsidRDefault="00DD3EBC" w:rsidP="00DD3EBC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ANEXO</w:t>
      </w:r>
    </w:p>
    <w:p w14:paraId="5CF9EFB8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20"/>
          <w:szCs w:val="20"/>
          <w:lang w:val="es-ES"/>
        </w:rPr>
      </w:pPr>
    </w:p>
    <w:p w14:paraId="7B6E5C27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Resolución CFE Nº 145/11</w:t>
      </w:r>
    </w:p>
    <w:p w14:paraId="53D23D1A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lang w:val="es-ES"/>
        </w:rPr>
      </w:pPr>
    </w:p>
    <w:p w14:paraId="437EEEE1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779EFECF" w14:textId="77777777" w:rsidR="00DD3EBC" w:rsidRDefault="00DD3EBC" w:rsidP="00DD3EB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MODIFICACIONES AL PROGRAMA MEJORA CONTINUA DE LA CALIDAD DE LA EDUCACION TECNICO PROFESIONAL</w:t>
      </w:r>
    </w:p>
    <w:p w14:paraId="29A23992" w14:textId="77777777" w:rsidR="00DD3EBC" w:rsidRDefault="00DD3EBC" w:rsidP="00DD3EBC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9"/>
          <w:szCs w:val="19"/>
          <w:lang w:val="es-ES"/>
        </w:rPr>
      </w:pPr>
    </w:p>
    <w:p w14:paraId="4F875EF2" w14:textId="77777777" w:rsidR="00DD3EBC" w:rsidRDefault="00DD3EBC" w:rsidP="00DD3EBC">
      <w:pPr>
        <w:widowControl w:val="0"/>
        <w:numPr>
          <w:ilvl w:val="0"/>
          <w:numId w:val="12"/>
        </w:numPr>
        <w:tabs>
          <w:tab w:val="left" w:pos="393"/>
        </w:tabs>
        <w:autoSpaceDE w:val="0"/>
        <w:autoSpaceDN w:val="0"/>
        <w:adjustRightInd w:val="0"/>
        <w:spacing w:before="1" w:after="0" w:line="240" w:lineRule="auto"/>
        <w:ind w:left="0" w:right="-1" w:firstLine="0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1-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ab/>
        <w:t xml:space="preserve">Incorporación en la línea de acción “Condiciones de Higiene y Seguridad en talleres, laboratorios y espacios productivos en el que se desarrollan las prácticas pre profesionales y </w:t>
      </w:r>
      <w:proofErr w:type="spellStart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profesionalizantes</w:t>
      </w:r>
      <w:proofErr w:type="spellEnd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” el componente “Asesoramiento, Asistencia Técnica y Capacitación en Normativas Bromatológicas y de Bioseguridad, en laboratorios, talleres y espacios</w:t>
      </w:r>
      <w:r>
        <w:rPr>
          <w:rFonts w:ascii="Trebuchet MS" w:hAnsi="Trebuchet MS" w:cs="Trebuchet MS"/>
          <w:b/>
          <w:bCs/>
          <w:spacing w:val="-9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productivos”.</w:t>
      </w:r>
    </w:p>
    <w:p w14:paraId="175239A4" w14:textId="77777777" w:rsidR="00DD3EBC" w:rsidRDefault="00DD3EBC" w:rsidP="00DD3EB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A través de este componente se podrá contratar un profesional acreditado según los organismos de control nacionales, provinciales o municipales que sean de aplicación, para brindar, entre otros, los siguientes servicios de asesoramiento, capacitación y asistencia técnica:</w:t>
      </w:r>
    </w:p>
    <w:p w14:paraId="487A063E" w14:textId="77777777" w:rsidR="00DD3EBC" w:rsidRDefault="00DD3EBC" w:rsidP="00DD3EBC">
      <w:pPr>
        <w:widowControl w:val="0"/>
        <w:numPr>
          <w:ilvl w:val="1"/>
          <w:numId w:val="13"/>
        </w:numPr>
        <w:tabs>
          <w:tab w:val="left" w:pos="1061"/>
        </w:tabs>
        <w:autoSpaceDE w:val="0"/>
        <w:autoSpaceDN w:val="0"/>
        <w:adjustRightInd w:val="0"/>
        <w:spacing w:after="0" w:line="232" w:lineRule="exact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1-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Evaluación de contaminación bacteriológica en salas de</w:t>
      </w:r>
      <w:r>
        <w:rPr>
          <w:rFonts w:ascii="Trebuchet MS" w:hAnsi="Trebuchet MS" w:cs="Trebuchet MS"/>
          <w:spacing w:val="-11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industria,</w:t>
      </w:r>
    </w:p>
    <w:p w14:paraId="0C4E652C" w14:textId="77777777" w:rsidR="00DD3EBC" w:rsidRDefault="00DD3EBC" w:rsidP="00DD3EBC">
      <w:pPr>
        <w:widowControl w:val="0"/>
        <w:numPr>
          <w:ilvl w:val="1"/>
          <w:numId w:val="13"/>
        </w:numPr>
        <w:tabs>
          <w:tab w:val="left" w:pos="1099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2-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Evaluación de áreas limpias en laboratorios de transformación de alimentos y de producción y conservación de semen y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embriones</w:t>
      </w:r>
    </w:p>
    <w:p w14:paraId="368C0AFF" w14:textId="77777777" w:rsidR="00DD3EBC" w:rsidRDefault="00DD3EBC" w:rsidP="00DD3EBC">
      <w:pPr>
        <w:widowControl w:val="0"/>
        <w:numPr>
          <w:ilvl w:val="1"/>
          <w:numId w:val="13"/>
        </w:numPr>
        <w:tabs>
          <w:tab w:val="left" w:pos="1178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3-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Control de lavado y limpieza de equipos involucrados en los diferentes procesos de industrialización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alimentaria</w:t>
      </w:r>
    </w:p>
    <w:p w14:paraId="358EB373" w14:textId="77777777" w:rsidR="00DD3EBC" w:rsidRDefault="00DD3EBC" w:rsidP="00DD3EBC">
      <w:pPr>
        <w:widowControl w:val="0"/>
        <w:numPr>
          <w:ilvl w:val="1"/>
          <w:numId w:val="13"/>
        </w:numPr>
        <w:tabs>
          <w:tab w:val="left" w:pos="1091"/>
        </w:tabs>
        <w:autoSpaceDE w:val="0"/>
        <w:autoSpaceDN w:val="0"/>
        <w:adjustRightInd w:val="0"/>
        <w:spacing w:after="0" w:line="240" w:lineRule="auto"/>
        <w:ind w:left="0" w:right="-1" w:firstLine="0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4-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Buenas prácticas de manipulación de alimentos (normativas, código alimentario, habilitación de SENASA,</w:t>
      </w:r>
      <w:r>
        <w:rPr>
          <w:rFonts w:ascii="Trebuchet MS" w:hAnsi="Trebuchet MS" w:cs="Trebuchet MS"/>
          <w:spacing w:val="-2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etc.)</w:t>
      </w:r>
    </w:p>
    <w:p w14:paraId="3E872250" w14:textId="77777777" w:rsidR="00DD3EBC" w:rsidRDefault="00DD3EBC" w:rsidP="00DD3EBC">
      <w:pPr>
        <w:widowControl w:val="0"/>
        <w:numPr>
          <w:ilvl w:val="1"/>
          <w:numId w:val="13"/>
        </w:numPr>
        <w:tabs>
          <w:tab w:val="left" w:pos="1061"/>
        </w:tabs>
        <w:autoSpaceDE w:val="0"/>
        <w:autoSpaceDN w:val="0"/>
        <w:adjustRightInd w:val="0"/>
        <w:spacing w:after="0" w:line="232" w:lineRule="exact"/>
        <w:ind w:left="0" w:right="-1" w:firstLine="0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5-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Elaboración de material didáctico</w:t>
      </w:r>
      <w:r>
        <w:rPr>
          <w:rFonts w:ascii="Trebuchet MS" w:hAnsi="Trebuchet MS" w:cs="Trebuchet MS"/>
          <w:spacing w:val="-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específico</w:t>
      </w:r>
    </w:p>
    <w:p w14:paraId="160E0A19" w14:textId="2C98CB53" w:rsidR="00DD3EBC" w:rsidRPr="00DD3EBC" w:rsidRDefault="00DD3EBC" w:rsidP="00DD3EBC">
      <w:pPr>
        <w:widowControl w:val="0"/>
        <w:numPr>
          <w:ilvl w:val="1"/>
          <w:numId w:val="13"/>
        </w:numPr>
        <w:tabs>
          <w:tab w:val="left" w:pos="1061"/>
        </w:tabs>
        <w:autoSpaceDE w:val="0"/>
        <w:autoSpaceDN w:val="0"/>
        <w:adjustRightInd w:val="0"/>
        <w:spacing w:after="0" w:line="232" w:lineRule="exact"/>
        <w:ind w:left="0" w:right="-1" w:firstLine="0"/>
        <w:jc w:val="both"/>
        <w:rPr>
          <w:rFonts w:ascii="Times New Roman" w:hAnsi="Times New Roman" w:cs="Times New Roman"/>
          <w:kern w:val="1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6-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 w:rsidRPr="00DD3EBC">
        <w:rPr>
          <w:rFonts w:ascii="Trebuchet MS" w:hAnsi="Trebuchet MS" w:cs="Trebuchet MS"/>
          <w:kern w:val="1"/>
          <w:sz w:val="20"/>
          <w:szCs w:val="20"/>
          <w:lang w:val="es-ES"/>
        </w:rPr>
        <w:t>Indumentaria y metodología de uso para la higiene y seguridad personal en el</w:t>
      </w:r>
      <w:r w:rsidRPr="00DD3EBC">
        <w:rPr>
          <w:rFonts w:ascii="Trebuchet MS" w:hAnsi="Trebuchet MS" w:cs="Trebuchet MS"/>
          <w:spacing w:val="-28"/>
          <w:kern w:val="1"/>
          <w:sz w:val="20"/>
          <w:szCs w:val="20"/>
          <w:lang w:val="es-ES"/>
        </w:rPr>
        <w:t xml:space="preserve"> </w:t>
      </w:r>
      <w:r w:rsidRPr="00DD3EBC">
        <w:rPr>
          <w:rFonts w:ascii="Trebuchet MS" w:hAnsi="Trebuchet MS" w:cs="Trebuchet MS"/>
          <w:kern w:val="1"/>
          <w:sz w:val="20"/>
          <w:szCs w:val="20"/>
          <w:lang w:val="es-ES"/>
        </w:rPr>
        <w:t>trabajo.</w:t>
      </w:r>
    </w:p>
    <w:p w14:paraId="33A62DBC" w14:textId="77777777" w:rsidR="00DD3EBC" w:rsidRDefault="00DD3EBC" w:rsidP="00DD3EB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Se financiará hasta un monto de $ 18.000 para la primera intervención (elaboración de un plan de 12 meses de duración) y hasta $ 9.000 para la intervención complementaria (mantenimiento y actualización de los niveles de cumplimiento de la normativa respectiva logrados en la primera intervención). Se contemplará, cuando así resulte necesario, hasta un 20% adicional en concepto de gastos de traslado. Corresponde utilizar el formulario F 06 D.</w:t>
      </w:r>
    </w:p>
    <w:p w14:paraId="0935582C" w14:textId="77777777" w:rsidR="00DD3EBC" w:rsidRDefault="00DD3EBC" w:rsidP="00DD3EB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5E843F6A" w14:textId="77777777" w:rsidR="00DD3EBC" w:rsidRDefault="00DD3EBC" w:rsidP="00DD3EBC">
      <w:pPr>
        <w:widowControl w:val="0"/>
        <w:tabs>
          <w:tab w:val="left" w:pos="438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2.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ab/>
        <w:t xml:space="preserve">Cambios a introducir en la línea de acción “Condiciones de Higiene y Seguridad en talleres, laboratorios y espacios productivos en el que se desarrollan las prácticas pre profesionales y </w:t>
      </w:r>
      <w:proofErr w:type="spellStart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profesionalizantes</w:t>
      </w:r>
      <w:proofErr w:type="spellEnd"/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”</w:t>
      </w:r>
    </w:p>
    <w:p w14:paraId="12819E87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Se reemplaza el párrafo: “Hasta un total de $ 12.000 por Institución Educativa para un plan de seguridad e higiene de 12 meses. Aquellas Instituciones que ya se hubieran beneficiado en esta línea de acción y hubieran ejecutado el plan, total o parcialmente, podrán solicitar un adicional no mayor a $ 6.000 para el año en concepto de mantenimiento y actualización de los niveles de seguridad alcanzados con el diagnóstico y plan de adecuación originales, debiendo acompañar tal solicitud con un forme de avance o un informe final de lo ejecutado con anterioridad”, por el siguiente párrafo:</w:t>
      </w:r>
    </w:p>
    <w:p w14:paraId="11AB4C6E" w14:textId="77777777" w:rsidR="00DD3EBC" w:rsidRDefault="00DD3EBC" w:rsidP="00DD3EB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“Hasta un total de $ 18.000 por Institución Educativa para un plan de seguridad e higiene de 12 meses. Aquellas Instituciones que ya se hubieran beneficiado en esta línea de acción y hubieran ejecutado el plan, total o parcialmente, podrán solicitar un adicional no mayor a $ 9.000 para el año en concepto de mantenimiento y actualización de los niveles de seguridad alcanzados con el diagnóstico y plan de adecuación originales, debiendo acompañar tal solicitud con un Informe de avance o un informe final de lo ejecutado con anterioridad. Se contemplará, cuando así resulte necesario, hasta un 20% adicional en concepto de gastos de traslado”.</w:t>
      </w:r>
    </w:p>
    <w:p w14:paraId="739FD1F4" w14:textId="77777777" w:rsidR="00DD3EBC" w:rsidRDefault="00DD3EBC" w:rsidP="00DD3EBC">
      <w:pPr>
        <w:widowControl w:val="0"/>
        <w:autoSpaceDE w:val="0"/>
        <w:autoSpaceDN w:val="0"/>
        <w:adjustRightInd w:val="0"/>
        <w:spacing w:before="11" w:after="0" w:line="240" w:lineRule="auto"/>
        <w:ind w:right="-1"/>
        <w:rPr>
          <w:rFonts w:ascii="Times New Roman" w:hAnsi="Times New Roman" w:cs="Times New Roman"/>
          <w:i/>
          <w:iCs/>
          <w:kern w:val="1"/>
          <w:sz w:val="19"/>
          <w:szCs w:val="19"/>
          <w:lang w:val="es-ES"/>
        </w:rPr>
      </w:pPr>
    </w:p>
    <w:p w14:paraId="55466E1B" w14:textId="77777777" w:rsidR="00DD3EBC" w:rsidRDefault="00DD3EBC" w:rsidP="00DD3EBC">
      <w:pPr>
        <w:widowControl w:val="0"/>
        <w:tabs>
          <w:tab w:val="left" w:pos="365"/>
        </w:tabs>
        <w:autoSpaceDE w:val="0"/>
        <w:autoSpaceDN w:val="0"/>
        <w:adjustRightInd w:val="0"/>
        <w:spacing w:after="0" w:line="232" w:lineRule="exact"/>
        <w:ind w:right="-1"/>
        <w:jc w:val="both"/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3.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ab/>
        <w:t>Cambios a introducir en la línea de acción “Acondicionamiento</w:t>
      </w:r>
      <w:r>
        <w:rPr>
          <w:rFonts w:ascii="Trebuchet MS" w:hAnsi="Trebuchet MS" w:cs="Trebuchet MS"/>
          <w:b/>
          <w:bCs/>
          <w:spacing w:val="-13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20"/>
          <w:szCs w:val="20"/>
          <w:lang w:val="es-ES"/>
        </w:rPr>
        <w:t>edilicio”.</w:t>
      </w:r>
    </w:p>
    <w:p w14:paraId="09FAF461" w14:textId="585D6713" w:rsidR="00DD3EBC" w:rsidRDefault="00DD3EBC" w:rsidP="00DD3EBC">
      <w:pPr>
        <w:widowControl w:val="0"/>
        <w:tabs>
          <w:tab w:val="left" w:pos="543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3.1.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Con respecto a la </w:t>
      </w:r>
      <w:proofErr w:type="spellStart"/>
      <w:r>
        <w:rPr>
          <w:rFonts w:ascii="Trebuchet MS" w:hAnsi="Trebuchet MS" w:cs="Trebuchet MS"/>
          <w:kern w:val="1"/>
          <w:sz w:val="20"/>
          <w:szCs w:val="20"/>
          <w:lang w:val="es-ES"/>
        </w:rPr>
        <w:t>refuncionalización</w:t>
      </w:r>
      <w:proofErr w:type="spellEnd"/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 edilicia se reemplaza el párrafo “Se admite la presentación de dos proyectos por año y por institución educativa de hasta un total de $ 75.000 por proyecto, correspondiendo cada uno de ellos a obras diferentes”, por el siguiente</w:t>
      </w:r>
      <w:r>
        <w:rPr>
          <w:rFonts w:ascii="Trebuchet MS" w:hAnsi="Trebuchet MS" w:cs="Trebuchet MS"/>
          <w:spacing w:val="-16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párrafo:</w:t>
      </w:r>
    </w:p>
    <w:p w14:paraId="7B7DD64C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“Se admite la presentación de uno o más proyectos por año y por institución educativa por un monto total de $ 300.000. En el caso que un proyecto supere el monto de $ 75.000 la presentación deberá ser de carácter jurisdiccional”</w:t>
      </w:r>
    </w:p>
    <w:p w14:paraId="25931021" w14:textId="7923400F" w:rsidR="00DD3EBC" w:rsidRDefault="00DD3EBC" w:rsidP="00DD3EBC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3.2.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 xml:space="preserve">Con respecto al acondicionamiento edilicio según las condiciones de seguridad e higiene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lastRenderedPageBreak/>
        <w:t>necesarias para el laboratorio, taller, espacio productivo y biblioteca se reemplaza el párrafo “Se admite la presentación de dos proyectos por año y por institución educativa de hasta un total de $ 75.000 por proyecto, correspondiendo cada uno de ellos a obras diferentes” por el siguiente</w:t>
      </w:r>
      <w:r>
        <w:rPr>
          <w:rFonts w:ascii="Trebuchet MS" w:hAnsi="Trebuchet MS" w:cs="Trebuchet MS"/>
          <w:spacing w:val="-17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párrafo:</w:t>
      </w:r>
    </w:p>
    <w:p w14:paraId="15DE98D5" w14:textId="77777777" w:rsidR="00DD3EBC" w:rsidRDefault="00DD3EBC" w:rsidP="00DD3EBC">
      <w:pPr>
        <w:widowControl w:val="0"/>
        <w:autoSpaceDE w:val="0"/>
        <w:autoSpaceDN w:val="0"/>
        <w:adjustRightInd w:val="0"/>
        <w:spacing w:before="90" w:after="0" w:line="240" w:lineRule="auto"/>
        <w:ind w:right="-1"/>
        <w:jc w:val="both"/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“Se admite la presentación de uno o varios proyectos por año y por institución educativa por un monto total de $ 300.000. En el caso que un proyecto supere el monto de $ 75.000 la presentación deberá ser de carácter jurisdiccional”.</w:t>
      </w:r>
    </w:p>
    <w:p w14:paraId="1799EADD" w14:textId="7CBCFC2D" w:rsidR="00DD3EBC" w:rsidRDefault="00DD3EBC" w:rsidP="00DD3EBC">
      <w:pPr>
        <w:widowControl w:val="0"/>
        <w:tabs>
          <w:tab w:val="left" w:pos="539"/>
        </w:tabs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>3.3.</w:t>
      </w:r>
      <w:r>
        <w:rPr>
          <w:rFonts w:ascii="Trebuchet MS" w:hAnsi="Trebuchet MS" w:cs="Trebuchet MS"/>
          <w:spacing w:val="-1"/>
          <w:kern w:val="1"/>
          <w:sz w:val="20"/>
          <w:szCs w:val="20"/>
          <w:lang w:val="es-ES"/>
        </w:rPr>
        <w:tab/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Con respecto a la ampliación edilicia se reemplaza el párrafo “Hasta $ 150.000 por Institución Educativa por año”, por el siguiente</w:t>
      </w:r>
      <w:r>
        <w:rPr>
          <w:rFonts w:ascii="Trebuchet MS" w:hAnsi="Trebuchet MS" w:cs="Trebuchet MS"/>
          <w:spacing w:val="-8"/>
          <w:kern w:val="1"/>
          <w:sz w:val="20"/>
          <w:szCs w:val="20"/>
          <w:lang w:val="es-ES"/>
        </w:rPr>
        <w:t xml:space="preserve"> </w:t>
      </w:r>
      <w:r>
        <w:rPr>
          <w:rFonts w:ascii="Trebuchet MS" w:hAnsi="Trebuchet MS" w:cs="Trebuchet MS"/>
          <w:kern w:val="1"/>
          <w:sz w:val="20"/>
          <w:szCs w:val="20"/>
          <w:lang w:val="es-ES"/>
        </w:rPr>
        <w:t>párrafo:</w:t>
      </w:r>
    </w:p>
    <w:p w14:paraId="06D3DEB4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“Se admite la presentación de uno o varios proyectos por un monto total anual por Institución de hasta $ 500.000”.</w:t>
      </w:r>
    </w:p>
    <w:p w14:paraId="09135EA2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Se reemplaza, además, el párrafo “Se reconocerá en concepto de pago de honorarios hasta un máximo de: 1ª etapa. Anteproyecto Constructivo</w:t>
      </w:r>
    </w:p>
    <w:p w14:paraId="47222C04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Obras menores (hasta $ 40.000): 3% del precio total.</w:t>
      </w:r>
    </w:p>
    <w:p w14:paraId="04FF7404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Obras mayores de $ 40.000 hasta $ 150.000: 2% del precio total. 2ª etapa. Documentación de obra y Dirección de Obra:</w:t>
      </w:r>
    </w:p>
    <w:p w14:paraId="589E1649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kern w:val="1"/>
          <w:sz w:val="20"/>
          <w:szCs w:val="20"/>
          <w:lang w:val="es-ES"/>
        </w:rPr>
        <w:t>Obras menores (hasta $ 40.000): 6% del total.</w:t>
      </w:r>
    </w:p>
    <w:p w14:paraId="7AD65CDE" w14:textId="43C9C48A" w:rsidR="00DD3EBC" w:rsidRDefault="00DD3EBC" w:rsidP="00DD3EBC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kern w:val="1"/>
          <w:sz w:val="20"/>
          <w:szCs w:val="20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kern w:val="1"/>
          <w:sz w:val="20"/>
          <w:szCs w:val="20"/>
          <w:lang w:val="es-ES"/>
        </w:rPr>
        <w:t>Obras mayores de $ 40.000 hasta $ $ 150.000: 5% del total” El texto que sustituye al anterior es el siguiente:</w:t>
      </w:r>
    </w:p>
    <w:p w14:paraId="0CB5BCD8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“Se reconocerá en concepto de pago de honorarios hasta un máximo de: 1ª etapa. Anteproyecto Constructivo</w:t>
      </w:r>
    </w:p>
    <w:p w14:paraId="331A5840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Obras menores (hasta $ 68.807,00 ): 3% del precio total.</w:t>
      </w:r>
    </w:p>
    <w:p w14:paraId="14B8686B" w14:textId="77777777" w:rsidR="00DD3EBC" w:rsidRDefault="00DD3EBC" w:rsidP="00DD3EBC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Obras mayores desde $ 68.807,00 hasta $ 467.289,00: 2% del precio total. 2ª etapa. Documentación de obra y Dirección de Obra:</w:t>
      </w:r>
    </w:p>
    <w:p w14:paraId="018A8A32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Obras menores (hasta $ 68.807,00): 6% del total.</w:t>
      </w:r>
    </w:p>
    <w:p w14:paraId="3AE451EB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imes New Roman" w:hAnsi="Times New Roman" w:cs="Times New Roman"/>
          <w:kern w:val="1"/>
          <w:lang w:val="es-ES"/>
        </w:rPr>
      </w:pPr>
    </w:p>
    <w:p w14:paraId="64276F39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lang w:val="es-ES"/>
        </w:rPr>
      </w:pPr>
    </w:p>
    <w:p w14:paraId="57E2D49E" w14:textId="77777777" w:rsidR="00DD3EBC" w:rsidRDefault="00DD3EBC" w:rsidP="00DD3EBC">
      <w:pPr>
        <w:widowControl w:val="0"/>
        <w:autoSpaceDE w:val="0"/>
        <w:autoSpaceDN w:val="0"/>
        <w:adjustRightInd w:val="0"/>
        <w:spacing w:after="0" w:line="232" w:lineRule="exact"/>
        <w:ind w:right="-1"/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</w:pPr>
      <w:r>
        <w:rPr>
          <w:rFonts w:ascii="Trebuchet MS" w:hAnsi="Trebuchet MS" w:cs="Trebuchet MS"/>
          <w:i/>
          <w:iCs/>
          <w:kern w:val="1"/>
          <w:sz w:val="20"/>
          <w:szCs w:val="20"/>
          <w:lang w:val="es-ES"/>
        </w:rPr>
        <w:t>Obras mayores de $ 68.807,00 hasta $ 467.289,00: 5% del total.”</w:t>
      </w:r>
    </w:p>
    <w:p w14:paraId="6CDB0543" w14:textId="39F7095A" w:rsidR="00592F1B" w:rsidRPr="00AC3BA6" w:rsidRDefault="00592F1B" w:rsidP="00DD3EBC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2"/>
      <w:numFmt w:val="decimal"/>
      <w:lvlText w:val="%1."/>
      <w:lvlJc w:val="left"/>
      <w:pPr>
        <w:ind w:left="720" w:hanging="360"/>
      </w:pPr>
    </w:lvl>
    <w:lvl w:ilvl="1" w:tplc="0000012E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2"/>
      <w:numFmt w:val="decimal"/>
      <w:lvlText w:val="%1."/>
      <w:lvlJc w:val="left"/>
      <w:pPr>
        <w:ind w:left="720" w:hanging="360"/>
      </w:pPr>
    </w:lvl>
    <w:lvl w:ilvl="1" w:tplc="0000019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2"/>
      <w:numFmt w:val="decimal"/>
      <w:lvlText w:val="%1."/>
      <w:lvlJc w:val="left"/>
      <w:pPr>
        <w:ind w:left="720" w:hanging="360"/>
      </w:pPr>
    </w:lvl>
    <w:lvl w:ilvl="1" w:tplc="000001F6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2"/>
      <w:numFmt w:val="decimal"/>
      <w:lvlText w:val="%1."/>
      <w:lvlJc w:val="left"/>
      <w:pPr>
        <w:ind w:left="720" w:hanging="360"/>
      </w:pPr>
    </w:lvl>
    <w:lvl w:ilvl="1" w:tplc="0000025A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11"/>
  </w:num>
  <w:num w:numId="5">
    <w:abstractNumId w:val="7"/>
  </w:num>
  <w:num w:numId="6">
    <w:abstractNumId w:val="8"/>
  </w:num>
  <w:num w:numId="7">
    <w:abstractNumId w:val="8"/>
    <w:lvlOverride w:ilvl="1">
      <w:startOverride w:val="1"/>
    </w:lvlOverride>
  </w:num>
  <w:num w:numId="8">
    <w:abstractNumId w:val="8"/>
    <w:lvlOverride w:ilvl="1">
      <w:startOverride w:val="5"/>
    </w:lvlOverride>
  </w:num>
  <w:num w:numId="9">
    <w:abstractNumId w:val="8"/>
    <w:lvlOverride w:ilvl="1">
      <w:startOverride w:val="5"/>
    </w:lvlOverride>
  </w:num>
  <w:num w:numId="10">
    <w:abstractNumId w:val="12"/>
  </w:num>
  <w:num w:numId="11">
    <w:abstractNumId w:val="9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DD3EBC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1301</Words>
  <Characters>7157</Characters>
  <Application>Microsoft Macintosh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2021-05-23T15:01:00Z</dcterms:created>
  <dcterms:modified xsi:type="dcterms:W3CDTF">2021-05-23T15:01:00Z</dcterms:modified>
</cp:coreProperties>
</file>